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923"/>
        </w:tabs>
        <w:spacing w:after="240" w:line="360" w:lineRule="auto"/>
        <w:ind w:right="9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JURÍDICO </w:t>
      </w:r>
    </w:p>
    <w:p w:rsidR="00000000" w:rsidDel="00000000" w:rsidP="00000000" w:rsidRDefault="00000000" w:rsidRPr="00000000" w14:paraId="00000003">
      <w:pPr>
        <w:widowControl w:val="0"/>
        <w:spacing w:after="240" w:lineRule="auto"/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DIREITO ADMINISTRATIVO. PROCESSO ADMINISTRATIVO.  PRINCÍPIO DA LEGALIDADE. EXAME DA POSSIBILIDADE LEGAL DE CONTRATAÇÃO DIRETA. DISPENSA DE LICITAÇÃO COM FUNDAMENTO NO ARTIGO 75, INCISO II, DA LEI Nº 14.133/2021.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CONSULENTE: Comissão de Contratação / Agente de Contratação, Câmara Municipal de Vereadores de Surubim, Estado de Pernambuco.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Trata-se de Parecer Jurídico sobre possível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DISPENSA DE LICITAÇÃO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Art. 75, inciso II, Lei Federal nº 14.133/2021, objetivando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contratação de empresa especializada para aquisição de notebooks para atender as necessidades da nova sede da Câmara Municipal de Vereadores, assim como auxiliar nos trabalhos do Poder Legislativo,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constantes no Termo de Referência.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Constam dos autos, que transcorrem na forma de processo físico, que foram instruídos com Justificativa, Termo de Referência, minuta de contrato que serão analisados juridicamente por esta Assessoria.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21/2024.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Dispensa de Licitação Nº 20/2024.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FEDERAL Nº 14.133/21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presente parecer jurídico visa atender o requisito legal disposto no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inciso II do §1º artigo 53 da Lei nº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14.133/2021</w:t>
      </w:r>
      <w:r w:rsidDel="00000000" w:rsidR="00000000" w:rsidRPr="00000000">
        <w:rPr>
          <w:sz w:val="24"/>
          <w:szCs w:val="24"/>
          <w:rtl w:val="0"/>
        </w:rPr>
        <w:t xml:space="preserve">, sendo um parecer prévio onde se analisa se os procedimentos legais internos do processo administrativo estão sendo obedecidos pelos responsáveis pelo trâmite da Dispensa de Licitação.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Lembra-se que aqui se trata de análise jurídica ficando a cargo do Gestor da Casa a análise de conveniência e oportunidade sobre a celebração de futuro contrato administrativo.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 relatório, passo a fundamentar.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60" w:lineRule="auto"/>
        <w:ind w:right="115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início, cumpre registrar que o exame realizado neste parecer se restringe aos aspectos jurídicos acerca da possibilidade ou não de se contratar por Dispensa de licitação, estando excluídos quaisquer pontos de caráter técnico, econômico e/ou discricionário, cuja avaliação não compete a esta Assessoria Jurídica, e, em especial a análise da </w:t>
      </w:r>
      <w:r w:rsidDel="00000000" w:rsidR="00000000" w:rsidRPr="00000000">
        <w:rPr>
          <w:sz w:val="24"/>
          <w:szCs w:val="24"/>
          <w:rtl w:val="0"/>
        </w:rPr>
        <w:t xml:space="preserve">minuta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Contrato.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importante destacar que a submissão das dispensas de licitações, na Lei 14.133/2021, possui amparo, respectivamente, em seu artigo 53, §1º, inciso I e II c/c o artigo 72, inciso III, que assim dispõem: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53. Ao final da fase preparatória, o processo licitatório seguirá para o órgão de assessoramento jurídico da Administração, que realizará controle prévio de legalidade mediante análise jurídica da contratação.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§1º - Na elaboração do parecer jurídico, o órgão de assessoramento jurídico da Administração deverá: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apreciar o processo licitatório conforme critérios objetivos prévios de atribuição de prioridade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 - redigir sua manifestação em linguagem simples e compreensível e de forma clara e objetiva, com apreciação de todos os elementos indispensáveis à contratação e com exposição dos pressupostos de fato e de direito levados em consideração na análise jurídica.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(...)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72. O processo de contratação direta, que compreende os casos de inexigibilidade e de dispensa de licitação, deverá ser instruído com os seguintes documentos: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parecer jurídico e pareceres técnicos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se for o caso, que demonstrem o atendimento dos requisitos exigidos.(g.n.)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Ressalta-se, como regra a Administração Pública para contratar serviços, ou adquirir produtos, ou produtos e serviços encontra-se obrigada a realizar previamente processo de licitação, conforme previsto no art. 37, inciso XXI da CF/88, como se pode ver da transcrição da redação dos dispositivos ora citados: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2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37 [...]</w:t>
      </w:r>
    </w:p>
    <w:p w:rsidR="00000000" w:rsidDel="00000000" w:rsidP="00000000" w:rsidRDefault="00000000" w:rsidRPr="00000000" w14:paraId="0000001C">
      <w:pPr>
        <w:ind w:left="2267" w:right="11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000000" w:rsidDel="00000000" w:rsidP="00000000" w:rsidRDefault="00000000" w:rsidRPr="00000000" w14:paraId="0000001D">
      <w:pPr>
        <w:ind w:left="3402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8" w:firstLine="70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Essa obrigatoriedade de licitar funda-se em dois aspectos basilares, cujo primeiro é o de estabelecer um tratamento igualitário entre os interessados em contratar, como forma de realização do princípio da impessoalidade, da isonomia e da moralidade; e o segundo revela-se no propósito do poder Público de alcançar a proposta que lhe seja mais vantajosa.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60" w:lineRule="auto"/>
        <w:ind w:right="109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Licitação é o procedimento administrativo mediante o qual a Administração Pública seleciona proposta mais vantajosa para o contrato de seu interesse. Visa propiciar iguais oportunidades aos que desejam contratar com o Poder Público, dentro dos padrões previamente estabelecidos pela Administração, e atua como fator de eficiência e moralidade nos negócios administrativos.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 exposto, pode-se chegar a uma conclusão fundamental, qual seja, a de que a licitação atende a duas finalidades essenciais. A primeira delas é permitir que o Poder Público possa escolher, dentre as propostas apresentadas, qual é a mais vantajosa para si, isto é, para o interesse público. De outro lado, presta-se a permitir aos cidadãos, em igualdade de condições e sem privilégios, usufruir do seu direito de participar dos contratos que o Poder Público celebra. Com isso, evita-se que os agentes públicos, fazendo mau uso da máquina administrativa, obtenham, para si ou para outrem, vantagem ilícita decorrente da celebração de contratos administrativos, em evidente prejuízo para 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res pública.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 feita, como previsto na norma superior, a realização do certame é a regra, contudo, a própria lei de licitações prevê situações em que é mais vantajoso para a Administração, a formalização da contratação direta, ou seja, sem que haja a necessidade do procedimento licitatório.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conforme previsão do artigo 75, inciso II, da Lei 14.133/2021 (Nova Lei de Licitações) trouxe em seu texto a possibilidade de realizar dispensa de licitações para contratação que envolva valores até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R$ 59.906,02 (cinquenta e nove mil, novecentos e seis reais e dois centavos)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valor atualizado pelo DECRETO Nº 11.871, DE 29 DE DEZEMBRO DE 2023, no caso de outros serviços e compras.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é preponderante caminhar, doravante, na linha da possibilidade de contratação direta dos serviços, desde que, o valor </w:t>
      </w:r>
      <w:r w:rsidDel="00000000" w:rsidR="00000000" w:rsidRPr="00000000">
        <w:rPr>
          <w:sz w:val="24"/>
          <w:szCs w:val="24"/>
          <w:rtl w:val="0"/>
        </w:rPr>
        <w:t xml:space="preserve">despendido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exercício financeiro em curso, para custear a despesa, não seja </w:t>
      </w:r>
      <w:r w:rsidDel="00000000" w:rsidR="00000000" w:rsidRPr="00000000">
        <w:rPr>
          <w:sz w:val="24"/>
          <w:szCs w:val="24"/>
          <w:rtl w:val="0"/>
        </w:rPr>
        <w:t xml:space="preserve">superior ao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limite previsto em lei para dispensa. Por conseguinte, pode-se afirmar que, dentro das regras dos valores estabelecidos pela legislação vigente, não há qualquer óbice quanto à pretensão.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Destaca-se, ainda, que nos autos constam os documentos de formalização de demanda e termo de referência, minuta do contrato e anexos, contendo os elementos necessários e suficientes, com nível de precisão adequado, para caracterizar o objeto requisitado.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Considerando que o valor total está estimado em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</w:t>
      </w:r>
      <w:r w:rsidDel="00000000" w:rsidR="00000000" w:rsidRPr="00000000">
        <w:rPr>
          <w:b w:val="1"/>
          <w:sz w:val="24"/>
          <w:szCs w:val="24"/>
          <w:rtl w:val="0"/>
        </w:rPr>
        <w:t xml:space="preserve">58.404,67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cinquenta e oito mil, quatrocentos e quatro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reais e sessenta e sete centavos)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é forçoso concluir pela possibilidade legal de contratação direta, através de dispensa de licitação, uma vez que, o caso em questão, se amolda perfeitamente nos valores previstos no Artigo 75, inciso II, da Lei nº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 fundamentação, passo a concluir.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Assim, observadas as prescrições suscitadas acima, vislumbro de plano a existência de autorização legal para deflagrar o processo para contratação direta dos serviços e neste caso é absolutamente possível a contratação na forma prevista no artigo 75, inciso II, da Lei nº 14.133/2021. </w:t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Dessa forma, observadas as prescrições exaradas neste parecer, pela possibilidade de deflagrar o processo para contratação direta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empresa especializada para aquisição de notebooks para atender as necessidades da nova sede da Câmara Municipal de Vereadores, assim como auxiliar nos trabalhos do Poder Legislativo</w:t>
      </w:r>
      <w:r w:rsidDel="00000000" w:rsidR="00000000" w:rsidRPr="00000000">
        <w:rPr>
          <w:sz w:val="24"/>
          <w:szCs w:val="24"/>
          <w:rtl w:val="0"/>
        </w:rPr>
        <w:t xml:space="preserve">, pelo prosseguimento do feito, na forma da Lei.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Esse parecer é meramente opinativo, não vinculando a atuação da Administração Pública.</w:t>
        <w:tab/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C">
      <w:pPr>
        <w:spacing w:after="24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Surubim, 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dezembro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2024.</w:t>
      </w:r>
    </w:p>
    <w:p w:rsidR="00000000" w:rsidDel="00000000" w:rsidP="00000000" w:rsidRDefault="00000000" w:rsidRPr="00000000" w14:paraId="0000002D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Severino A. A. Interaminense</w:t>
      </w:r>
    </w:p>
    <w:p w:rsidR="00000000" w:rsidDel="00000000" w:rsidP="00000000" w:rsidRDefault="00000000" w:rsidRPr="00000000" w14:paraId="0000002F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OAB/PE 25.510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5" w:top="1560" w:left="1701" w:right="1133" w:header="426" w:footer="4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ffffff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127000</wp:posOffset>
              </wp:positionV>
              <wp:extent cx="5305425" cy="222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98050" y="378000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127000</wp:posOffset>
              </wp:positionV>
              <wp:extent cx="5305425" cy="2222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54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-17779</wp:posOffset>
              </wp:positionV>
              <wp:extent cx="3057525" cy="6191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22000" y="3475200"/>
                        <a:ext cx="30480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-17779</wp:posOffset>
              </wp:positionV>
              <wp:extent cx="3057525" cy="6191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7525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190500</wp:posOffset>
              </wp:positionV>
              <wp:extent cx="1819275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190500</wp:posOffset>
              </wp:positionV>
              <wp:extent cx="1819275" cy="2222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4254500</wp:posOffset>
              </wp:positionH>
              <wp:positionV relativeFrom="paragraph">
                <wp:posOffset>0</wp:posOffset>
              </wp:positionV>
              <wp:extent cx="1819275" cy="2222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4254500</wp:posOffset>
              </wp:positionH>
              <wp:positionV relativeFrom="paragraph">
                <wp:posOffset>0</wp:posOffset>
              </wp:positionV>
              <wp:extent cx="1819275" cy="22225"/>
              <wp:effectExtent b="0" l="0" r="0" t="0"/>
              <wp:wrapNone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Wm6eENX6w59HKdZVEmwmIPtuw==">CgMxLjAyCGguZ2pkZ3hzOAByITFia0dnWFpJenhXbl9JT2Mxb0J4OWhIbTVCbU43a25qSw==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