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23"/>
        </w:tabs>
        <w:spacing w:after="240" w:line="360" w:lineRule="auto"/>
        <w:ind w:right="9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</w:t>
      </w:r>
    </w:p>
    <w:p w:rsidR="00000000" w:rsidDel="00000000" w:rsidP="00000000" w:rsidRDefault="00000000" w:rsidRPr="00000000" w14:paraId="00000005">
      <w:pPr>
        <w:widowControl w:val="0"/>
        <w:spacing w:after="240" w:lineRule="auto"/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DIREITO ADMINISTRATIVO. PROCESSO ADMINISTRATIVO.  PRINCÍPIO DA LEGALIDADE. EXAME DA POSSIBILIDADE LEGAL DE CONTRATAÇÃO DIRETA. DISPENSA DE LICITAÇÃO COM FUNDAMENTO NO ARTIGO 75, INCISO II, DA LEI Nº 14.133/2021.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CONSULENTE: Comissão de Contratação / Agente de Contratação, Câmara Municipal de Vereadores de Surubim, Estado de Pernambuco.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Trata-se de Parecer Jurídico sobre possível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DISPENSA DE LICITAÇÃO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Art. 75, inciso II, Lei Federal nº 14.133/2021, objetivando Contratação de pessoa jurídica, para Prestação de serviços de locação e manutenção de softwares de digitalização e gerenciamento de documentos, para a Câmara Municipal de Surubim, de acordo com as especificações técnicas constantes no Termo de Referência.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Constam dos autos, que transcorrem na forma de processo físico, que foram instruídos com Justificativa, Termo de Referência, minuta de contrato que serão analisados juridicamente por esta Assessoria.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 Nº 11/2024.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Dispensa de Licitação Nº 10/2024.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 FEDERAL Nº 14.133/21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presente parecer jurídico visa atender o requisito legal disposto no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inciso II do §1º artigo 53 da Lei nº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14.133/2021</w:t>
      </w:r>
      <w:r w:rsidDel="00000000" w:rsidR="00000000" w:rsidRPr="00000000">
        <w:rPr>
          <w:sz w:val="24"/>
          <w:szCs w:val="24"/>
          <w:rtl w:val="0"/>
        </w:rPr>
        <w:t xml:space="preserve">, sendo um parecer prévio onde se analisa se os procedimentos legais internos do processo administrativo estão sendo obedecidos pelos responsáveis pelo trâmite da Dispensa de Licitação.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Lembra-se que aqui se trata de análise jurídica ficando a cargo do Gestor da Casa a análise de conveniência e oportunidade sobre a celebração de futuro contrato administrativo.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o relatório, passo a fundamentar.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60" w:lineRule="auto"/>
        <w:ind w:right="115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início, cumpre registrar que o exame realizado neste parecer se restringe aos aspectos jurídicos acerca da possibilidade ou não de se contratar por Dispensa de licitação, estando excluídos quaisquer pontos de caráter técnico, econômico e/ou discricionário, cuja avaliação não compete a esta Assessoria Jurídica, e, em especial a análise da </w:t>
      </w:r>
      <w:r w:rsidDel="00000000" w:rsidR="00000000" w:rsidRPr="00000000">
        <w:rPr>
          <w:sz w:val="24"/>
          <w:szCs w:val="24"/>
          <w:rtl w:val="0"/>
        </w:rPr>
        <w:t xml:space="preserve">minuta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 Contrato.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importante destacar que a submissão das dispensas de licitações, na Lei 14.133/2021, possui amparo, respectivamente, em seu artigo 53, §1º, inciso I e II c/c o artigo 72, inciso III, que assim dispõem: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53. Ao final da fase preparatória, o processo licitatório seguirá para o órgão de assessoramento jurídico da Administração, que realizará controle prévio de legalidade mediante análise jurídica da contratação.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§1º - Na elaboração do parecer jurídico, o órgão de assessoramento jurídico da Administração deverá: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apreciar o processo licitatório conforme critérios objetivos prévios de atribuição de prioridade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 - redigir sua manifestação em linguagem simples e compreensível e de forma clara e objetiva, com apreciação de todos os elementos indispensáveis à contratação e com exposição dos pressupostos de fato e de direito levados em consideração na análise jurídica.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(...)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72. O processo de contratação direta, que compreende os casos de inexigibilidade e de dispensa de licitação, deverá ser instruído com os seguintes documentos: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parecer jurídico e pareceres técnicos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se for o caso, que demonstrem o atendimento dos requisitos exigidos.(g.n.)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Ressalta-se, como regra a Administração Pública para contratar serviços, ou adquirir produtos, ou produtos e serviços encontra-se obrigada a realizar previamente processo de licitação, conforme previsto no art. 37, inciso XXI da CF/88, como se pode ver da transcrição da redação dos dispositivos ora citados: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2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37 [...]</w:t>
      </w:r>
    </w:p>
    <w:p w:rsidR="00000000" w:rsidDel="00000000" w:rsidP="00000000" w:rsidRDefault="00000000" w:rsidRPr="00000000" w14:paraId="0000001D">
      <w:pPr>
        <w:ind w:left="2267" w:right="11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:rsidR="00000000" w:rsidDel="00000000" w:rsidP="00000000" w:rsidRDefault="00000000" w:rsidRPr="00000000" w14:paraId="0000001E">
      <w:pPr>
        <w:ind w:left="3402" w:right="11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8" w:firstLine="70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Essa obrigatoriedade de licitar funda-se em dois aspectos basilares, cujo primeiro é o de estabelecer um tratamento igualitário entre os interessados em contratar, como forma de realização do princípio da impessoalidade, da isonomia e da moralidade; e o segundo revela-se no propósito do poder Público de alcançar a proposta que lhe seja mais vantajosa.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60" w:lineRule="auto"/>
        <w:ind w:right="109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Licitação é o procedimento administrativo mediante o qual a Administração Pública seleciona proposta mais vantajosa para o contrato de seu interesse. Visa propiciar iguais oportunidades aos que desejam contratar com o Poder Público, dentro dos padrões previamente estabelecidos pela Administração, e atua como fator de eficiência e moralidade nos negócios administrativos.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 exposto, pode-se chegar a uma conclusão fundamental, qual seja, a de que a licitação atende a duas finalidades essenciais. A primeira delas é permitir que o Poder Público possa escolher, dentre as propostas apresentadas, qual é a mais vantajosa para si, isto é, para o interesse público. De outro lado, presta-se a permitir aos cidadãos, em igualdade de condições e sem privilégios, usufruir do seu direito de participar dos contratos que o Poder Público celebra. Com isso, evita-se que os agentes públicos, fazendo mau uso da máquina administrativa, obtenham, para si ou para outrem, vantagem ilícita decorrente da celebração de contratos administrativos, em evidente prejuízo para 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res pública.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 feita, como previsto na norma superior, a realização do certame é a regra, contudo, a própria lei de licitações prevê situações em que é mais vantajoso para a Administração, a formalização da contratação direta, ou seja, sem que haja a necessidade do procedimento licitatório.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conforme previsão do Artigo 75, inciso II, da Lei 14.133/2021 (Nova Lei de Licitações) trouxe em seu texto a possibilidade de realizar dispensa de licitações para contratação que envolva valores até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R$ 59.906,02 (cinquenta e nove mil, novecentos e seis reais e dois centavos)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valor atualizado pelo DECRETO Nº 11.871, DE 29 DE DEZEMBRO DE 2023, no caso de outros serviços e compras.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é preponderante caminhar, doravante, na linha da possibilidade de contratação direta dos serviços, desde que, o valor </w:t>
      </w:r>
      <w:r w:rsidDel="00000000" w:rsidR="00000000" w:rsidRPr="00000000">
        <w:rPr>
          <w:sz w:val="24"/>
          <w:szCs w:val="24"/>
          <w:rtl w:val="0"/>
        </w:rPr>
        <w:t xml:space="preserve">despendido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 exercício financeiro em curso, para custear a despesa, não seja </w:t>
      </w:r>
      <w:r w:rsidDel="00000000" w:rsidR="00000000" w:rsidRPr="00000000">
        <w:rPr>
          <w:sz w:val="24"/>
          <w:szCs w:val="24"/>
          <w:rtl w:val="0"/>
        </w:rPr>
        <w:t xml:space="preserve">superior ao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limite previsto em lei para dispensa. Por conseguinte, pode-se afirmar que, dentro das regras dos valores estabelecidos pela legislação vigente, não há qualquer óbice quanto à pretensão.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Destaca-se, ainda, que nos autos constam os documentos de formalização de demanda e termo de referência, minuta do contrato e anexos, contendo os elementos necessários e suficientes, com nível de precisão adequado, para caracterizar o objeto requisitado.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Considerando que o valor total está estimado em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</w:t>
      </w:r>
      <w:r w:rsidDel="00000000" w:rsidR="00000000" w:rsidRPr="00000000">
        <w:rPr>
          <w:b w:val="1"/>
          <w:sz w:val="24"/>
          <w:szCs w:val="24"/>
          <w:rtl w:val="0"/>
        </w:rPr>
        <w:t xml:space="preserve">17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00,00 (</w:t>
      </w:r>
      <w:r w:rsidDel="00000000" w:rsidR="00000000" w:rsidRPr="00000000">
        <w:rPr>
          <w:b w:val="1"/>
          <w:sz w:val="24"/>
          <w:szCs w:val="24"/>
          <w:rtl w:val="0"/>
        </w:rPr>
        <w:t xml:space="preserve">dezessete mil e seiscentos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reais)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é forçoso concluir pela possibilidade legal de contratação direta, através de dispensa de licitação, uma vez que, o caso em questão, se amolda perfeitamente nos valores previstos no Artigo 75, inciso II, da Lei nº 14.133/2021.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a fundamentação, passo a concluir.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observadas as prescrições suscitadas acima, vislumbro de plano a existência de autorização legal para deflagrar o processo para contratação direta dos serviços e neste caso é absolutamente possível a contratação na forma prevista no artigo 75, inciso II, da Lei nº 14.133/2021.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Dessa forma, observadas as prescrições exaradas neste parecer, pela possibilidade de deflagrar o processo para contratação direta dos serviços da Empresa</w:t>
      </w:r>
      <w:r w:rsidDel="00000000" w:rsidR="00000000" w:rsidRPr="00000000">
        <w:rPr>
          <w:b w:val="1"/>
          <w:sz w:val="22"/>
          <w:szCs w:val="22"/>
          <w:rtl w:val="0"/>
        </w:rPr>
        <w:t xml:space="preserve"> PAULO CESAR CORDEIRO DOS SANTOS</w:t>
      </w:r>
      <w:r w:rsidDel="00000000" w:rsidR="00000000" w:rsidRPr="00000000">
        <w:rPr>
          <w:sz w:val="24"/>
          <w:szCs w:val="24"/>
          <w:rtl w:val="0"/>
        </w:rPr>
        <w:t xml:space="preserve">, inscrito no CNPJ nº 27.823.925/0001-99, pelo prosseguimento do feito, na forma da Lei. 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Esse parecer é meramente opinativo, não vinculando a atuação da Administração Pública.</w:t>
        <w:tab/>
        <w:tab/>
      </w:r>
    </w:p>
    <w:p w:rsidR="00000000" w:rsidDel="00000000" w:rsidP="00000000" w:rsidRDefault="00000000" w:rsidRPr="00000000" w14:paraId="0000002C">
      <w:pPr>
        <w:spacing w:after="240"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Surubim, </w:t>
      </w:r>
      <w:r w:rsidDel="00000000" w:rsidR="00000000" w:rsidRPr="00000000">
        <w:rPr>
          <w:sz w:val="24"/>
          <w:szCs w:val="24"/>
          <w:rtl w:val="0"/>
        </w:rPr>
        <w:t xml:space="preserve">08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fevereiro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2024.</w:t>
      </w:r>
    </w:p>
    <w:p w:rsidR="00000000" w:rsidDel="00000000" w:rsidP="00000000" w:rsidRDefault="00000000" w:rsidRPr="00000000" w14:paraId="0000002D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Severino A. A. Interaminense</w:t>
      </w:r>
    </w:p>
    <w:p w:rsidR="00000000" w:rsidDel="00000000" w:rsidP="00000000" w:rsidRDefault="00000000" w:rsidRPr="00000000" w14:paraId="0000002E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OAB/PE 25.510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5" w:top="1560" w:left="1701" w:right="1133" w:header="426" w:footer="4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ffffff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98050" y="378000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color w:val="000000"/>
        <w:rtl w:val="0"/>
      </w:rPr>
      <w:t xml:space="preserve">Rua Luiz Epaminondas, 226-B – Centro – CEP 56640-000 – Custódia-PE - Fone (87) 9 9631-1771</w:t>
      <w:br w:type="textWrapping"/>
      <w:t xml:space="preserve">CNPJ – 32.320.967/0001-47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-17779</wp:posOffset>
              </wp:positionV>
              <wp:extent cx="3076575" cy="630602"/>
              <wp:effectExtent b="0" l="0" r="0" t="0"/>
              <wp:wrapNone/>
              <wp:docPr id="23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822000" y="3475200"/>
                        <a:ext cx="30480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-17779</wp:posOffset>
              </wp:positionV>
              <wp:extent cx="3076575" cy="630602"/>
              <wp:effectExtent b="0" l="0" r="0" t="0"/>
              <wp:wrapNone/>
              <wp:docPr id="2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6575" cy="6306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38100</wp:posOffset>
              </wp:positionV>
              <wp:extent cx="0" cy="495300"/>
              <wp:effectExtent b="0" l="0" r="0" t="0"/>
              <wp:wrapNone/>
              <wp:docPr id="2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32350"/>
                        <a:ext cx="0" cy="4953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38100</wp:posOffset>
              </wp:positionV>
              <wp:extent cx="0" cy="495300"/>
              <wp:effectExtent b="0" l="0" r="0" t="0"/>
              <wp:wrapNone/>
              <wp:docPr id="23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3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3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  <w:u w:val="single"/>
    </w:rPr>
  </w:style>
  <w:style w:type="paragraph" w:styleId="Normal" w:default="1">
    <w:name w:val="Normal"/>
    <w:qFormat w:val="1"/>
    <w:rsid w:val="00AD67B2"/>
  </w:style>
  <w:style w:type="paragraph" w:styleId="Ttulo1">
    <w:name w:val="heading 1"/>
    <w:basedOn w:val="Normal"/>
    <w:next w:val="Normal"/>
    <w:link w:val="Ttulo1Char"/>
    <w:uiPriority w:val="9"/>
    <w:qFormat w:val="1"/>
    <w:rsid w:val="005344AA"/>
    <w:pPr>
      <w:keepNext w:val="1"/>
      <w:jc w:val="center"/>
      <w:outlineLvl w:val="0"/>
    </w:pPr>
    <w:rPr>
      <w:b w:val="1"/>
      <w:bCs w:val="1"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344AA"/>
    <w:pPr>
      <w:keepNext w:val="1"/>
      <w:spacing w:after="60" w:before="240"/>
      <w:outlineLvl w:val="1"/>
    </w:pPr>
    <w:rPr>
      <w:rFonts w:ascii="Calibri Light" w:hAnsi="Calibri Light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344AA"/>
    <w:pPr>
      <w:keepNext w:val="1"/>
      <w:spacing w:after="60" w:before="240"/>
      <w:outlineLvl w:val="2"/>
    </w:pPr>
    <w:rPr>
      <w:rFonts w:ascii="Calibri Light" w:hAnsi="Calibri Light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uiPriority w:val="10"/>
    <w:qFormat w:val="1"/>
    <w:rsid w:val="005344AA"/>
    <w:pPr>
      <w:jc w:val="center"/>
    </w:pPr>
    <w:rPr>
      <w:b w:val="1"/>
      <w:sz w:val="22"/>
      <w:u w:val="single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F64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F644D"/>
  </w:style>
  <w:style w:type="paragraph" w:styleId="Rodap">
    <w:name w:val="footer"/>
    <w:basedOn w:val="Normal"/>
    <w:link w:val="RodapChar"/>
    <w:uiPriority w:val="99"/>
    <w:unhideWhenUsed w:val="1"/>
    <w:rsid w:val="00BF64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F644D"/>
  </w:style>
  <w:style w:type="paragraph" w:styleId="Textodebalo">
    <w:name w:val="Balloon Text"/>
    <w:basedOn w:val="Normal"/>
    <w:link w:val="TextodebaloChar"/>
    <w:unhideWhenUsed w:val="1"/>
    <w:rsid w:val="00BF644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rsid w:val="00BF644D"/>
    <w:rPr>
      <w:rFonts w:ascii="Segoe UI" w:cs="Segoe UI" w:hAnsi="Segoe UI"/>
      <w:sz w:val="18"/>
      <w:szCs w:val="18"/>
    </w:rPr>
  </w:style>
  <w:style w:type="paragraph" w:styleId="ecxmsonormal" w:customStyle="1">
    <w:name w:val="ecxmsonormal"/>
    <w:basedOn w:val="Normal"/>
    <w:rsid w:val="00C04F7B"/>
    <w:pPr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uiPriority w:val="22"/>
    <w:qFormat w:val="1"/>
    <w:rsid w:val="00C04F7B"/>
    <w:rPr>
      <w:b w:val="1"/>
      <w:bCs w:val="1"/>
    </w:rPr>
  </w:style>
  <w:style w:type="character" w:styleId="apple-style-span" w:customStyle="1">
    <w:name w:val="apple-style-span"/>
    <w:basedOn w:val="Fontepargpadro"/>
    <w:rsid w:val="00C04F7B"/>
  </w:style>
  <w:style w:type="character" w:styleId="nfaseforte" w:customStyle="1">
    <w:name w:val="Ênfase forte"/>
    <w:rsid w:val="00C04F7B"/>
    <w:rPr>
      <w:b w:val="1"/>
      <w:bCs w:val="1"/>
    </w:rPr>
  </w:style>
  <w:style w:type="character" w:styleId="nfase">
    <w:name w:val="Emphasis"/>
    <w:uiPriority w:val="20"/>
    <w:qFormat w:val="1"/>
    <w:rsid w:val="00C04F7B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C04F7B"/>
    <w:pPr>
      <w:jc w:val="both"/>
    </w:pPr>
    <w:rPr>
      <w:rFonts w:ascii="Arial" w:cs="Arial" w:hAnsi="Arial"/>
      <w:color w:val="000000"/>
    </w:rPr>
  </w:style>
  <w:style w:type="paragraph" w:styleId="PargrafodaLista">
    <w:name w:val="List Paragraph"/>
    <w:basedOn w:val="Normal"/>
    <w:uiPriority w:val="1"/>
    <w:qFormat w:val="1"/>
    <w:rsid w:val="00394A94"/>
    <w:pPr>
      <w:spacing w:after="200" w:line="276" w:lineRule="auto"/>
      <w:ind w:left="720"/>
      <w:contextualSpacing w:val="1"/>
    </w:pPr>
    <w:rPr>
      <w:rFonts w:ascii="Calibri" w:eastAsia="Calibri" w:hAnsi="Calibri"/>
    </w:rPr>
  </w:style>
  <w:style w:type="paragraph" w:styleId="SemEspaamento">
    <w:name w:val="No Spacing"/>
    <w:uiPriority w:val="1"/>
    <w:qFormat w:val="1"/>
    <w:rsid w:val="00AD67B2"/>
    <w:rPr>
      <w:rFonts w:ascii="Calibri" w:eastAsia="Calibri" w:hAnsi="Calibri"/>
    </w:rPr>
  </w:style>
  <w:style w:type="paragraph" w:styleId="indent1" w:customStyle="1">
    <w:name w:val="indent1"/>
    <w:basedOn w:val="Normal"/>
    <w:rsid w:val="00AD67B2"/>
    <w:pPr>
      <w:spacing w:after="100" w:afterAutospacing="1" w:before="100" w:beforeAutospacing="1"/>
    </w:pPr>
    <w:rPr>
      <w:sz w:val="24"/>
      <w:szCs w:val="24"/>
    </w:rPr>
  </w:style>
  <w:style w:type="character" w:styleId="Ttulo1Char" w:customStyle="1">
    <w:name w:val="Título 1 Char"/>
    <w:basedOn w:val="Fontepargpadro"/>
    <w:link w:val="Ttulo1"/>
    <w:rsid w:val="005344A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t-BR"/>
    </w:rPr>
  </w:style>
  <w:style w:type="character" w:styleId="Ttulo2Char" w:customStyle="1">
    <w:name w:val="Título 2 Char"/>
    <w:basedOn w:val="Fontepargpadro"/>
    <w:link w:val="Ttulo2"/>
    <w:semiHidden w:val="1"/>
    <w:rsid w:val="005344AA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  <w:lang w:eastAsia="pt-BR"/>
    </w:rPr>
  </w:style>
  <w:style w:type="character" w:styleId="Ttulo3Char" w:customStyle="1">
    <w:name w:val="Título 3 Char"/>
    <w:basedOn w:val="Fontepargpadro"/>
    <w:link w:val="Ttulo3"/>
    <w:semiHidden w:val="1"/>
    <w:rsid w:val="005344AA"/>
    <w:rPr>
      <w:rFonts w:ascii="Calibri Light" w:cs="Times New Roman" w:eastAsia="Times New Roman" w:hAnsi="Calibri Light"/>
      <w:b w:val="1"/>
      <w:bCs w:val="1"/>
      <w:sz w:val="26"/>
      <w:szCs w:val="26"/>
      <w:lang w:eastAsia="pt-BR"/>
    </w:rPr>
  </w:style>
  <w:style w:type="character" w:styleId="TtuloChar" w:customStyle="1">
    <w:name w:val="Título Char"/>
    <w:basedOn w:val="Fontepargpadro"/>
    <w:link w:val="Ttulo"/>
    <w:rsid w:val="005344AA"/>
    <w:rPr>
      <w:rFonts w:ascii="Times New Roman" w:cs="Times New Roman" w:eastAsia="Times New Roman" w:hAnsi="Times New Roman"/>
      <w:b w:val="1"/>
      <w:szCs w:val="20"/>
      <w:u w:val="single"/>
      <w:lang w:eastAsia="pt-BR"/>
    </w:rPr>
  </w:style>
  <w:style w:type="character" w:styleId="Hyperlink">
    <w:name w:val="Hyperlink"/>
    <w:uiPriority w:val="99"/>
    <w:unhideWhenUsed w:val="1"/>
    <w:rsid w:val="005344AA"/>
    <w:rPr>
      <w:color w:val="0000ff"/>
      <w:u w:val="single"/>
    </w:rPr>
  </w:style>
  <w:style w:type="paragraph" w:styleId="Default" w:customStyle="1">
    <w:name w:val="Default"/>
    <w:rsid w:val="005344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5344AA"/>
    <w:pPr>
      <w:widowControl w:val="0"/>
      <w:autoSpaceDE w:val="0"/>
      <w:autoSpaceDN w:val="0"/>
    </w:pPr>
    <w:rPr>
      <w:rFonts w:ascii="Verdana" w:cs="Verdana" w:eastAsia="Verdana" w:hAnsi="Verdana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5344AA"/>
    <w:rPr>
      <w:rFonts w:ascii="Verdana" w:cs="Verdana" w:eastAsia="Verdana" w:hAnsi="Verdana"/>
      <w:sz w:val="20"/>
      <w:szCs w:val="20"/>
    </w:rPr>
  </w:style>
  <w:style w:type="table" w:styleId="Tabelacomgrade">
    <w:name w:val="Table Grid"/>
    <w:basedOn w:val="Tabelanormal"/>
    <w:uiPriority w:val="39"/>
    <w:rsid w:val="005344AA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">
    <w:name w:val="Unresolved Mention"/>
    <w:uiPriority w:val="99"/>
    <w:semiHidden w:val="1"/>
    <w:unhideWhenUsed w:val="1"/>
    <w:rsid w:val="005344AA"/>
    <w:rPr>
      <w:color w:val="605e5c"/>
      <w:shd w:color="auto" w:fill="e1dfdd" w:val="clear"/>
    </w:rPr>
  </w:style>
  <w:style w:type="character" w:styleId="novotexto" w:customStyle="1">
    <w:name w:val="novo_texto"/>
    <w:rsid w:val="005344AA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VKh6Te83KAM6SBwThLkjbOjI0Q==">CgMxLjAyCGguZ2pkZ3hzOAByITF0WmxHOEJtMzFodW94cWVjaVJFVklhVnlGa0VxbmFwXw==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2024-07-24T13:03:00Z</dcterms:created>
  <dc:creator>MATEUS GOIS</dc:creator>
</cp:coreProperties>
</file>