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69740" w14:textId="77777777" w:rsidR="00724CED" w:rsidRDefault="0072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1B54ABF" w14:textId="77777777" w:rsidR="00724CED" w:rsidRDefault="00724C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301395C" w14:textId="77777777" w:rsidR="00724CED" w:rsidRDefault="009B7C7F">
      <w:pPr>
        <w:tabs>
          <w:tab w:val="left" w:pos="9923"/>
        </w:tabs>
        <w:spacing w:after="240" w:line="360" w:lineRule="auto"/>
        <w:ind w:right="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</w:t>
      </w:r>
    </w:p>
    <w:p w14:paraId="01024C34" w14:textId="77777777" w:rsidR="00724CED" w:rsidRDefault="009B7C7F">
      <w:pPr>
        <w:widowControl w:val="0"/>
        <w:spacing w:after="240"/>
        <w:ind w:left="46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DIREITO ADMISTRATIVO. PROCESSO ADMISTRATIVO.  PRINCÍPIO DA LEGALIDADE. EXAME DA POSSIBILIDADE LEGAL DE CONTRATAÇÃO DIRETA. DISPENSA DE LICITAÇÃO COM FUNDAMENTO NO ARTIGO 75, INCISO II, DA LEI Nº 14.133/2021. </w:t>
      </w:r>
    </w:p>
    <w:p w14:paraId="50321FD6" w14:textId="366309E8" w:rsidR="00724CED" w:rsidRDefault="009B7C7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CONSULENTE: Comissão de Contratação / Agente de Contratação, Câmara Municipal de Vereadores de </w:t>
      </w:r>
      <w:r w:rsidR="006B0F9F">
        <w:rPr>
          <w:color w:val="000000"/>
          <w:sz w:val="24"/>
          <w:szCs w:val="24"/>
        </w:rPr>
        <w:t>Surubim</w:t>
      </w:r>
      <w:r>
        <w:rPr>
          <w:color w:val="000000"/>
          <w:sz w:val="24"/>
          <w:szCs w:val="24"/>
        </w:rPr>
        <w:t>, Estado de Pernambuco.</w:t>
      </w:r>
    </w:p>
    <w:p w14:paraId="2DFC3062" w14:textId="1B4B8C03" w:rsidR="00724CED" w:rsidRDefault="009B7C7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Trata-se de Parecer Jurídico sobre possível </w:t>
      </w:r>
      <w:r>
        <w:rPr>
          <w:b/>
          <w:color w:val="000000"/>
          <w:sz w:val="24"/>
          <w:szCs w:val="24"/>
        </w:rPr>
        <w:t>DISPENSA DE LICITAÇÃO</w:t>
      </w:r>
      <w:r>
        <w:rPr>
          <w:color w:val="000000"/>
          <w:sz w:val="24"/>
          <w:szCs w:val="24"/>
        </w:rPr>
        <w:t xml:space="preserve">, com fundamento no Art. 75, inciso II, Lei Federal nº 14.133/2021, objetivando </w:t>
      </w:r>
      <w:r w:rsidR="00591E3D" w:rsidRPr="00591E3D">
        <w:rPr>
          <w:color w:val="000000"/>
          <w:sz w:val="24"/>
          <w:szCs w:val="24"/>
        </w:rPr>
        <w:t>Contratação de pessoa jurídica, para a Prestação de Serviços de locação e manutenção de softwares de Gestão Pública de Protocolo, para a Câmara Municipal de Vereadores de Surubim</w:t>
      </w:r>
      <w:r>
        <w:rPr>
          <w:color w:val="000000"/>
          <w:sz w:val="24"/>
          <w:szCs w:val="24"/>
        </w:rPr>
        <w:t xml:space="preserve">. </w:t>
      </w:r>
    </w:p>
    <w:p w14:paraId="3ED8E429" w14:textId="77777777" w:rsidR="00724CED" w:rsidRDefault="009B7C7F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Constam dos autos, que transcorrem na forma de processo físico, que foram instruídos com Justificativa, Termo de Referência, minuta de contrato que serão analisados juridicamente por esta Assessoria. </w:t>
      </w:r>
    </w:p>
    <w:p w14:paraId="21B5DA74" w14:textId="77777777" w:rsidR="00724CED" w:rsidRDefault="009B7C7F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 </w:t>
      </w:r>
    </w:p>
    <w:p w14:paraId="588A5AA6" w14:textId="76B4F1FE" w:rsidR="00724CED" w:rsidRDefault="009B7C7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ADMINISTRATIVO Nº </w:t>
      </w:r>
      <w:r w:rsidR="006B0F9F">
        <w:rPr>
          <w:b/>
          <w:sz w:val="24"/>
          <w:szCs w:val="24"/>
        </w:rPr>
        <w:t>0</w:t>
      </w:r>
      <w:r w:rsidR="009B162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/2024.</w:t>
      </w:r>
    </w:p>
    <w:p w14:paraId="4EC46939" w14:textId="6105F646" w:rsidR="00724CED" w:rsidRDefault="009B7C7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Dispensa de Licitação Nº 0</w:t>
      </w:r>
      <w:r w:rsidR="00AA458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/2024.</w:t>
      </w:r>
    </w:p>
    <w:p w14:paraId="60057E28" w14:textId="77777777" w:rsidR="00724CED" w:rsidRDefault="009B7C7F">
      <w:pPr>
        <w:widowControl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LEI FEDERAL Nº 14.133/21</w:t>
      </w:r>
    </w:p>
    <w:p w14:paraId="4DC5A530" w14:textId="77777777" w:rsidR="00724CED" w:rsidRDefault="00724CED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325F086B" w14:textId="77777777" w:rsidR="00724CED" w:rsidRDefault="009B7C7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presente parecer jurídico visa atender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requisito legal disposto no </w:t>
      </w:r>
      <w:r>
        <w:rPr>
          <w:b/>
          <w:color w:val="202124"/>
          <w:sz w:val="24"/>
          <w:szCs w:val="24"/>
          <w:highlight w:val="white"/>
        </w:rPr>
        <w:t>inciso II do §1º artigo 53 da Lei nº</w:t>
      </w:r>
      <w:r>
        <w:rPr>
          <w:color w:val="202124"/>
          <w:sz w:val="24"/>
          <w:szCs w:val="24"/>
          <w:highlight w:val="white"/>
        </w:rPr>
        <w:t> </w:t>
      </w:r>
      <w:r>
        <w:rPr>
          <w:b/>
          <w:color w:val="202124"/>
          <w:sz w:val="24"/>
          <w:szCs w:val="24"/>
          <w:highlight w:val="white"/>
        </w:rPr>
        <w:t>14.133/2021</w:t>
      </w:r>
      <w:r>
        <w:rPr>
          <w:sz w:val="24"/>
          <w:szCs w:val="24"/>
        </w:rPr>
        <w:t>, sendo um parecer prévio onde se analisa se os procedimentos legais internos do processo administrativo estão sendo obedecidos pelos responsáveis pelo trâmite da Dispensa de Licitação.</w:t>
      </w:r>
    </w:p>
    <w:p w14:paraId="02D2AC85" w14:textId="77777777" w:rsidR="00724CED" w:rsidRDefault="009B7C7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Lembra-se que aqui se trata de análise jurídica ficando a cargo do Gestor da Casa a análise de conveniência e oportunidade sobre a celebração de futuro contrato administrativo.</w:t>
      </w:r>
    </w:p>
    <w:p w14:paraId="67310DE8" w14:textId="77777777" w:rsidR="00724CED" w:rsidRDefault="009B7C7F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 relatório, passo a fundamentar.</w:t>
      </w:r>
    </w:p>
    <w:p w14:paraId="13FA75E1" w14:textId="4BB71C2C" w:rsidR="00724CED" w:rsidRDefault="009B7C7F" w:rsidP="006B0F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360" w:lineRule="auto"/>
        <w:ind w:right="11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início, cumpre registrar que o exame realizado neste parecer se restringe aos aspectos jurídicos acerca da possibilidade ou não de se contratar por Dispensa de licitação, estando excluídos quaisquer pontos de caráter técnico, econômico e/ou discricionário, cuja </w:t>
      </w:r>
      <w:r>
        <w:rPr>
          <w:color w:val="000000"/>
          <w:sz w:val="24"/>
          <w:szCs w:val="24"/>
        </w:rPr>
        <w:lastRenderedPageBreak/>
        <w:t xml:space="preserve">avaliação não compete a esta Assessoria Jurídica, e, em especial a análise da </w:t>
      </w:r>
      <w:r>
        <w:rPr>
          <w:sz w:val="24"/>
          <w:szCs w:val="24"/>
        </w:rPr>
        <w:t>minuta</w:t>
      </w:r>
      <w:r>
        <w:rPr>
          <w:color w:val="000000"/>
          <w:sz w:val="24"/>
          <w:szCs w:val="24"/>
        </w:rPr>
        <w:t xml:space="preserve"> do Contrato.</w:t>
      </w:r>
    </w:p>
    <w:p w14:paraId="0A88F0B7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É importante destacar que a submissão das dispensas de licitações, na Lei 14.133/2021, possui amparo, respectivamente, em seu artigo 53, §1º, inciso I e II c/c o artigo 72, inciso III, que assim dispõem: </w:t>
      </w:r>
    </w:p>
    <w:p w14:paraId="428743E5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Art. 53. Ao final da fase preparatória, o processo licitatório seguirá para o órgão de assessoramento jurídico da Administração, que realizará controle prévio de legalidade mediante análise jurídica da contratação.</w:t>
      </w:r>
    </w:p>
    <w:p w14:paraId="5A44707F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§1º - Na elaboração do parecer jurídico, o órgão de assessoramento jurídico da Administração deverá: </w:t>
      </w:r>
    </w:p>
    <w:p w14:paraId="0E9C9CD8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- </w:t>
      </w:r>
      <w:proofErr w:type="gramStart"/>
      <w:r>
        <w:rPr>
          <w:b/>
          <w:color w:val="000000"/>
          <w:sz w:val="22"/>
          <w:szCs w:val="22"/>
          <w:u w:val="single"/>
        </w:rPr>
        <w:t>apreciar</w:t>
      </w:r>
      <w:proofErr w:type="gramEnd"/>
      <w:r>
        <w:rPr>
          <w:b/>
          <w:color w:val="000000"/>
          <w:sz w:val="22"/>
          <w:szCs w:val="22"/>
          <w:u w:val="single"/>
        </w:rPr>
        <w:t xml:space="preserve"> o processo licitatório conforme critérios objetivos prévios de atribuição de prioridade</w:t>
      </w:r>
      <w:r>
        <w:rPr>
          <w:color w:val="000000"/>
          <w:sz w:val="22"/>
          <w:szCs w:val="22"/>
        </w:rPr>
        <w:t xml:space="preserve">; </w:t>
      </w:r>
    </w:p>
    <w:p w14:paraId="2939C2BE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II - </w:t>
      </w:r>
      <w:proofErr w:type="gramStart"/>
      <w:r>
        <w:rPr>
          <w:color w:val="000000"/>
          <w:sz w:val="22"/>
          <w:szCs w:val="22"/>
        </w:rPr>
        <w:t>redigir</w:t>
      </w:r>
      <w:proofErr w:type="gramEnd"/>
      <w:r>
        <w:rPr>
          <w:color w:val="000000"/>
          <w:sz w:val="22"/>
          <w:szCs w:val="22"/>
        </w:rPr>
        <w:t xml:space="preserve"> sua manifestação em linguagem simples e compreensível e de forma clara e objetiva, com apreciação de todos os elementos indispensáveis à contratação e com exposição dos pressupostos de fato e de direito levados em consideração na análise jurídica. </w:t>
      </w:r>
    </w:p>
    <w:p w14:paraId="27F0B650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(...)</w:t>
      </w:r>
    </w:p>
    <w:p w14:paraId="588ED2E2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Art. 72. O processo de contratação direta, que compreende os casos de inexigibilidade e de dispensa de licitação, deverá ser instruído com os seguintes documentos: </w:t>
      </w:r>
    </w:p>
    <w:p w14:paraId="7A3D0E4D" w14:textId="4AC0A385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III - </w:t>
      </w:r>
      <w:r>
        <w:rPr>
          <w:b/>
          <w:color w:val="000000"/>
          <w:sz w:val="22"/>
          <w:szCs w:val="22"/>
          <w:u w:val="single"/>
        </w:rPr>
        <w:t>parecer jurídico e pareceres técnicos</w:t>
      </w:r>
      <w:r>
        <w:rPr>
          <w:color w:val="000000"/>
          <w:sz w:val="22"/>
          <w:szCs w:val="22"/>
        </w:rPr>
        <w:t>, se for o caso, que demonstrem o atendimento dos requisitos exigidos.</w:t>
      </w:r>
      <w:r w:rsidR="006B0F9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g.n</w:t>
      </w:r>
      <w:proofErr w:type="spellEnd"/>
      <w:r>
        <w:rPr>
          <w:color w:val="000000"/>
          <w:sz w:val="22"/>
          <w:szCs w:val="22"/>
        </w:rPr>
        <w:t>.)</w:t>
      </w:r>
    </w:p>
    <w:p w14:paraId="135A96E3" w14:textId="77777777" w:rsidR="00724CED" w:rsidRDefault="00724CED">
      <w:pPr>
        <w:widowControl w:val="0"/>
        <w:pBdr>
          <w:top w:val="nil"/>
          <w:left w:val="nil"/>
          <w:bottom w:val="nil"/>
          <w:right w:val="nil"/>
          <w:between w:val="nil"/>
        </w:pBdr>
        <w:ind w:left="2267" w:right="120"/>
        <w:jc w:val="both"/>
        <w:rPr>
          <w:i/>
          <w:color w:val="000000"/>
          <w:sz w:val="22"/>
          <w:szCs w:val="22"/>
        </w:rPr>
      </w:pPr>
    </w:p>
    <w:p w14:paraId="155B4022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Ressalta-se, como regra a Administração Pública para contratar serviços, ou adquirir </w:t>
      </w:r>
      <w:r>
        <w:rPr>
          <w:color w:val="000000"/>
          <w:sz w:val="24"/>
          <w:szCs w:val="24"/>
        </w:rPr>
        <w:t>produtos, ou produtos e serviços encontra-se obrigada a realizar previamente processo de licitação, conforme previsto no art. 37, inciso XXI da CF/88, como se pode ver da transcrição da redação dos dispositivos ora citados:</w:t>
      </w:r>
    </w:p>
    <w:p w14:paraId="68B81EA2" w14:textId="77777777" w:rsidR="00724CED" w:rsidRDefault="009B7C7F">
      <w:pPr>
        <w:ind w:left="2267"/>
        <w:jc w:val="both"/>
        <w:rPr>
          <w:sz w:val="22"/>
          <w:szCs w:val="22"/>
        </w:rPr>
      </w:pPr>
      <w:r>
        <w:rPr>
          <w:sz w:val="22"/>
          <w:szCs w:val="22"/>
        </w:rPr>
        <w:t>Art. 37 [...]</w:t>
      </w:r>
    </w:p>
    <w:p w14:paraId="7A7C1539" w14:textId="77777777" w:rsidR="00724CED" w:rsidRDefault="009B7C7F">
      <w:pPr>
        <w:ind w:left="2267" w:right="116"/>
        <w:jc w:val="both"/>
        <w:rPr>
          <w:sz w:val="22"/>
          <w:szCs w:val="22"/>
        </w:rPr>
      </w:pPr>
      <w:r>
        <w:rPr>
          <w:sz w:val="22"/>
          <w:szCs w:val="22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05472CE3" w14:textId="77777777" w:rsidR="00724CED" w:rsidRDefault="00724CED">
      <w:pPr>
        <w:ind w:left="3402" w:right="116"/>
        <w:jc w:val="both"/>
        <w:rPr>
          <w:sz w:val="22"/>
          <w:szCs w:val="22"/>
        </w:rPr>
      </w:pPr>
    </w:p>
    <w:p w14:paraId="1691B9A3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Essa obrigatoriedade de licitar funda-se em dois aspectos basilares, cujo primeiro é o de estabelecer um tratamento igualitário entre os interessados em contratar, como forma de realização do princípio da impessoalidade, da isonomia e da moralidade; e o segundo revela-se no propósito do poder Público de alcançar a proposta que lhe seja mais vantajosa.</w:t>
      </w:r>
    </w:p>
    <w:p w14:paraId="6F8B6C64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10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Dessa forma, Licitação é o procedimento administrativo mediante o qual a Administração Pública seleciona proposta mais vantajosa para o contrato de seu interesse. Visa propiciar iguais oportunidades aos que desejam </w:t>
      </w:r>
      <w:r>
        <w:rPr>
          <w:color w:val="000000"/>
          <w:sz w:val="24"/>
          <w:szCs w:val="24"/>
        </w:rPr>
        <w:t xml:space="preserve">contratar com o Poder Público, dentro dos padrões previamente estabelecidos pela Administração, e atua como fator de eficiência e </w:t>
      </w:r>
      <w:r>
        <w:rPr>
          <w:color w:val="000000"/>
          <w:sz w:val="24"/>
          <w:szCs w:val="24"/>
        </w:rPr>
        <w:lastRenderedPageBreak/>
        <w:t>moralidade nos negócios administrativos.</w:t>
      </w:r>
    </w:p>
    <w:p w14:paraId="52CA31C9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exposto, pode-se chegar a uma conclusão fundamental, qual seja, a de que a licitação atende a duas finalidades essenciais. A primeira delas é permitir que o Poder Público possa escolher, dentre as propostas apresentadas, qual é a mais vantajosa para si, isto é, para o interesse público. De outro lado, presta-se a permitir aos cidadãos, em igualdade de condições e sem privilégios, usufruir do seu direito de participar dos contratos que o Poder Público celebra. Com isso, evita-se que os agentes públicos, f</w:t>
      </w:r>
      <w:r>
        <w:rPr>
          <w:color w:val="000000"/>
          <w:sz w:val="24"/>
          <w:szCs w:val="24"/>
        </w:rPr>
        <w:t xml:space="preserve">azendo mau uso da máquina administrativa, obtenham, para si ou para outrem, vantagem ilícita decorrente da celebração de contratos administrativos, em evidente prejuízo para a </w:t>
      </w:r>
      <w:r>
        <w:rPr>
          <w:i/>
          <w:color w:val="000000"/>
          <w:sz w:val="24"/>
          <w:szCs w:val="24"/>
        </w:rPr>
        <w:t>res pública.</w:t>
      </w:r>
    </w:p>
    <w:p w14:paraId="31E4D6CB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Desta feita, como previsto na norma superior, a realização do certame é a regra, contudo, a própria lei de licitações prevê situações em que é mais vantajoso para a Administração, a formalização da contratação direta, ou seja, sem que haja a necessidade do procedimento licitatório. </w:t>
      </w:r>
    </w:p>
    <w:p w14:paraId="3310FD5E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Assim, conforme previsão do Artigo 75, inciso II, da Lei 14.133/2021 (Nova Lei de Licitações) trouxe em seu texto a possibilidade de realizar dispensa de licitações para contratação que envolva valores até </w:t>
      </w:r>
      <w:r>
        <w:rPr>
          <w:b/>
          <w:color w:val="000000"/>
          <w:sz w:val="24"/>
          <w:szCs w:val="24"/>
        </w:rPr>
        <w:t xml:space="preserve">R$ 59.906,02 (cinquenta e nove </w:t>
      </w:r>
      <w:proofErr w:type="gramStart"/>
      <w:r>
        <w:rPr>
          <w:b/>
          <w:color w:val="000000"/>
          <w:sz w:val="24"/>
          <w:szCs w:val="24"/>
        </w:rPr>
        <w:t>mil ,</w:t>
      </w:r>
      <w:proofErr w:type="gramEnd"/>
      <w:r>
        <w:rPr>
          <w:b/>
          <w:color w:val="000000"/>
          <w:sz w:val="24"/>
          <w:szCs w:val="24"/>
        </w:rPr>
        <w:t xml:space="preserve"> novecentos e seis reais e dois centavos)</w:t>
      </w:r>
      <w:r>
        <w:rPr>
          <w:color w:val="000000"/>
          <w:sz w:val="24"/>
          <w:szCs w:val="24"/>
        </w:rPr>
        <w:t xml:space="preserve">, valor atualizado pelo DECRETO Nº 11.871, DE 29 DE DEZEMBRO DE 2023, no caso de outros serviços e compras. </w:t>
      </w:r>
    </w:p>
    <w:p w14:paraId="2DD4CDE6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Assim, é preponderante caminhar, doravante, na linha da possibilidade de contratação direta dos serviços, desde que, o valor </w:t>
      </w:r>
      <w:r>
        <w:rPr>
          <w:sz w:val="24"/>
          <w:szCs w:val="24"/>
        </w:rPr>
        <w:t>despendido</w:t>
      </w:r>
      <w:r>
        <w:rPr>
          <w:color w:val="000000"/>
          <w:sz w:val="24"/>
          <w:szCs w:val="24"/>
        </w:rPr>
        <w:t xml:space="preserve"> no exercício financeiro em curso, para custear a despesa, não seja </w:t>
      </w:r>
      <w:r>
        <w:rPr>
          <w:sz w:val="24"/>
          <w:szCs w:val="24"/>
        </w:rPr>
        <w:t>superior ao</w:t>
      </w:r>
      <w:r>
        <w:rPr>
          <w:color w:val="000000"/>
          <w:sz w:val="24"/>
          <w:szCs w:val="24"/>
        </w:rPr>
        <w:t xml:space="preserve"> limite previsto em lei para dispensa. Por conseguinte, pode-se afirmar que, dentro das regras dos valores estabelecidos pela legislação vigente, não há qualquer óbice quanto à pretensão. </w:t>
      </w:r>
    </w:p>
    <w:p w14:paraId="57EBC6B9" w14:textId="77777777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Destaca-se, ainda, que nos autos constam os documentos de formalização de demanda e termo de referência, minuta do contrato e anexos, contendo os elementos necessários e suficientes, com nível de precisão adequado, para caracterizar o objeto requisitado.</w:t>
      </w:r>
    </w:p>
    <w:p w14:paraId="0B337CB4" w14:textId="290E057E" w:rsidR="00724CED" w:rsidRDefault="009B7C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20" w:firstLine="708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o valor total está estimado em </w:t>
      </w:r>
      <w:r>
        <w:rPr>
          <w:b/>
          <w:color w:val="000000"/>
          <w:sz w:val="24"/>
          <w:szCs w:val="24"/>
        </w:rPr>
        <w:t>R$</w:t>
      </w:r>
      <w:r w:rsidR="0088603E">
        <w:rPr>
          <w:b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>.</w:t>
      </w:r>
      <w:r w:rsidR="0088603E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00,00 (</w:t>
      </w:r>
      <w:r w:rsidR="00E03789">
        <w:rPr>
          <w:b/>
          <w:sz w:val="24"/>
          <w:szCs w:val="24"/>
        </w:rPr>
        <w:t>vinte mil e novecentos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reais)</w:t>
      </w:r>
      <w:r>
        <w:rPr>
          <w:color w:val="000000"/>
          <w:sz w:val="24"/>
          <w:szCs w:val="24"/>
        </w:rPr>
        <w:t>, é forçoso concluir pela possibilidade legal de contratação direta, através de dispensa de licitação, uma vez que, o caso em questão, se amolda perfeitamente nos valores previstos no Artigo 75, inciso II, da Lei nº 14.133/2021.</w:t>
      </w:r>
    </w:p>
    <w:p w14:paraId="5143C288" w14:textId="77777777" w:rsidR="00724CED" w:rsidRDefault="009B7C7F">
      <w:pPr>
        <w:spacing w:after="24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a fundamentação, passo a concluir.</w:t>
      </w:r>
      <w:r>
        <w:rPr>
          <w:b/>
          <w:sz w:val="24"/>
          <w:szCs w:val="24"/>
        </w:rPr>
        <w:t xml:space="preserve"> </w:t>
      </w:r>
    </w:p>
    <w:p w14:paraId="2F8ABDA3" w14:textId="77777777" w:rsidR="00724CED" w:rsidRDefault="009B7C7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99F512" w14:textId="19F585E8" w:rsidR="00724CED" w:rsidRDefault="00E03789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9B7C7F">
        <w:rPr>
          <w:sz w:val="24"/>
          <w:szCs w:val="24"/>
        </w:rPr>
        <w:t xml:space="preserve">Assim, observadas as prescrições suscitadas acima, vislumbro de plano a existência de autorização legal para deflagrar o processo para contratação direta dos serviços e neste caso é absolutamente possível a contratação na forma prevista no artigo 75, inciso II, da Lei nº 14.133/2021. </w:t>
      </w:r>
    </w:p>
    <w:p w14:paraId="455BB218" w14:textId="77777777" w:rsidR="00724CED" w:rsidRDefault="009B7C7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Dessa forma, observadas as prescrições exaradas neste parecer, pela possibilidade de deflagrar o processo para contratação direta dos serviços da Empresa </w:t>
      </w:r>
      <w:r>
        <w:rPr>
          <w:b/>
          <w:sz w:val="22"/>
          <w:szCs w:val="22"/>
        </w:rPr>
        <w:t>JULIO MATEUS DE OLIVEIRA GOIS</w:t>
      </w:r>
      <w:r>
        <w:rPr>
          <w:sz w:val="24"/>
          <w:szCs w:val="24"/>
        </w:rPr>
        <w:t xml:space="preserve">, inscrito no CNPJ nº 35.785.784/0001-95, pelo prosseguimento do feito, na forma da Lei. </w:t>
      </w:r>
    </w:p>
    <w:p w14:paraId="69CC149D" w14:textId="77777777" w:rsidR="00724CED" w:rsidRDefault="009B7C7F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Esse parecer é meramente opinativo, não vinculando a atuação da Administração Pública.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53FB954" w14:textId="2DBEE3A9" w:rsidR="00724CED" w:rsidRDefault="006B0F9F">
      <w:pPr>
        <w:spacing w:after="24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Surubim, </w:t>
      </w:r>
      <w:r>
        <w:rPr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de </w:t>
      </w:r>
      <w:r>
        <w:rPr>
          <w:sz w:val="24"/>
          <w:szCs w:val="24"/>
        </w:rPr>
        <w:t>janeiro</w:t>
      </w:r>
      <w:r>
        <w:rPr>
          <w:color w:val="000000"/>
          <w:sz w:val="24"/>
          <w:szCs w:val="24"/>
        </w:rPr>
        <w:t xml:space="preserve"> de 2024.</w:t>
      </w:r>
    </w:p>
    <w:p w14:paraId="397446C2" w14:textId="77777777" w:rsidR="009B7C7F" w:rsidRPr="009B7C7F" w:rsidRDefault="009B7C7F" w:rsidP="009B7C7F">
      <w:pPr>
        <w:spacing w:line="360" w:lineRule="auto"/>
        <w:jc w:val="center"/>
        <w:rPr>
          <w:b/>
          <w:sz w:val="24"/>
          <w:szCs w:val="24"/>
        </w:rPr>
      </w:pPr>
      <w:r w:rsidRPr="009B7C7F">
        <w:rPr>
          <w:b/>
          <w:sz w:val="24"/>
          <w:szCs w:val="24"/>
        </w:rPr>
        <w:t xml:space="preserve">Severino A. A. </w:t>
      </w:r>
      <w:proofErr w:type="spellStart"/>
      <w:r w:rsidRPr="009B7C7F">
        <w:rPr>
          <w:b/>
          <w:sz w:val="24"/>
          <w:szCs w:val="24"/>
        </w:rPr>
        <w:t>Interaminense</w:t>
      </w:r>
      <w:proofErr w:type="spellEnd"/>
    </w:p>
    <w:p w14:paraId="223BFB55" w14:textId="3CCB4303" w:rsidR="00724CED" w:rsidRDefault="009B7C7F" w:rsidP="009B7C7F">
      <w:pPr>
        <w:spacing w:line="360" w:lineRule="auto"/>
        <w:jc w:val="center"/>
        <w:rPr>
          <w:sz w:val="24"/>
          <w:szCs w:val="24"/>
        </w:rPr>
      </w:pPr>
      <w:r w:rsidRPr="009B7C7F">
        <w:rPr>
          <w:b/>
          <w:sz w:val="24"/>
          <w:szCs w:val="24"/>
        </w:rPr>
        <w:t>OAB/PE 25.510</w:t>
      </w:r>
    </w:p>
    <w:sectPr w:rsidR="00724C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560" w:right="1133" w:bottom="1135" w:left="1701" w:header="426" w:footer="4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062C8" w14:textId="77777777" w:rsidR="00595E86" w:rsidRDefault="00595E86">
      <w:r>
        <w:separator/>
      </w:r>
    </w:p>
  </w:endnote>
  <w:endnote w:type="continuationSeparator" w:id="0">
    <w:p w14:paraId="55A2D169" w14:textId="77777777" w:rsidR="00595E86" w:rsidRDefault="0059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E10F1" w14:textId="77777777" w:rsidR="00724CED" w:rsidRDefault="009B7C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 w:right="-568"/>
      <w:jc w:val="center"/>
      <w:rPr>
        <w:color w:val="FFFFF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CC0DA6" wp14:editId="61348A98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l="0" t="0" r="0" b="0"/>
              <wp:wrapNone/>
              <wp:docPr id="226" name="Conector de Seta Reta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98050" y="3780000"/>
                        <a:ext cx="5295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139700</wp:posOffset>
              </wp:positionV>
              <wp:extent cx="0" cy="12700"/>
              <wp:effectExtent b="0" l="0" r="0" t="0"/>
              <wp:wrapNone/>
              <wp:docPr id="2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F5CDB52" w14:textId="08F2821E" w:rsidR="00724CED" w:rsidRDefault="00724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 w:right="-568"/>
      <w:jc w:val="center"/>
      <w:rPr>
        <w:color w:val="000000"/>
      </w:rPr>
    </w:pPr>
    <w:bookmarkStart w:id="0" w:name="_heading=h.gjdgxs" w:colFirst="0" w:colLast="0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86840" w14:textId="77777777" w:rsidR="00595E86" w:rsidRDefault="00595E86">
      <w:r>
        <w:separator/>
      </w:r>
    </w:p>
  </w:footnote>
  <w:footnote w:type="continuationSeparator" w:id="0">
    <w:p w14:paraId="18B96AF3" w14:textId="77777777" w:rsidR="00595E86" w:rsidRDefault="0059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B4A38" w14:textId="77777777" w:rsidR="00724CED" w:rsidRDefault="009B7C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3885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24.95pt;height:445.45pt;z-index:-251654144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E24E" w14:textId="5A767DFB" w:rsidR="00724CED" w:rsidRDefault="009B7C7F" w:rsidP="00591E3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hidden="0" allowOverlap="1" wp14:anchorId="0D72D250" wp14:editId="08FAFD77">
              <wp:simplePos x="0" y="0"/>
              <wp:positionH relativeFrom="column">
                <wp:posOffset>266700</wp:posOffset>
              </wp:positionH>
              <wp:positionV relativeFrom="paragraph">
                <wp:posOffset>-17779</wp:posOffset>
              </wp:positionV>
              <wp:extent cx="3067050" cy="628650"/>
              <wp:effectExtent l="0" t="0" r="0" b="0"/>
              <wp:wrapNone/>
              <wp:docPr id="230" name="Retângulo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22000" y="3475200"/>
                        <a:ext cx="30480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F572C9" w14:textId="28C18714" w:rsidR="00724CED" w:rsidRDefault="00724CED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72D250" id="Retângulo 230" o:spid="_x0000_s1026" style="position:absolute;margin-left:21pt;margin-top:-1.4pt;width:241.5pt;height:49.5pt;z-index:25165312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" stroked="f">
              <v:textbox inset="2.53958mm,1.2694mm,2.53958mm,1.2694mm">
                <w:txbxContent>
                  <w:p w14:paraId="61F572C9" w14:textId="28C18714" w:rsidR="00724CED" w:rsidRDefault="00724CED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C50BB7B" w14:textId="77777777" w:rsidR="00724CED" w:rsidRDefault="009B7C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5913701D" wp14:editId="59C0E5D2">
              <wp:simplePos x="0" y="0"/>
              <wp:positionH relativeFrom="column">
                <wp:posOffset>3987800</wp:posOffset>
              </wp:positionH>
              <wp:positionV relativeFrom="paragraph">
                <wp:posOffset>0</wp:posOffset>
              </wp:positionV>
              <wp:extent cx="2238375" cy="247650"/>
              <wp:effectExtent l="0" t="0" r="0" b="0"/>
              <wp:wrapNone/>
              <wp:docPr id="229" name="Retângulo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6338" y="3665700"/>
                        <a:ext cx="22193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A787FA" w14:textId="61B287FB" w:rsidR="00724CED" w:rsidRDefault="00724CED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13701D" id="Retângulo 229" o:spid="_x0000_s1027" style="position:absolute;left:0;text-align:left;margin-left:314pt;margin-top:0;width:176.25pt;height:19.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" stroked="f">
              <v:textbox inset="2.53958mm,1.2694mm,2.53958mm,1.2694mm">
                <w:txbxContent>
                  <w:p w14:paraId="0CA787FA" w14:textId="61B287FB" w:rsidR="00724CED" w:rsidRDefault="00724CED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583D8899" wp14:editId="4BAE3138">
              <wp:simplePos x="0" y="0"/>
              <wp:positionH relativeFrom="column">
                <wp:posOffset>4152900</wp:posOffset>
              </wp:positionH>
              <wp:positionV relativeFrom="paragraph">
                <wp:posOffset>203200</wp:posOffset>
              </wp:positionV>
              <wp:extent cx="0" cy="12700"/>
              <wp:effectExtent l="0" t="0" r="0" b="0"/>
              <wp:wrapNone/>
              <wp:docPr id="228" name="Conector de Seta Reta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4152900</wp:posOffset>
              </wp:positionH>
              <wp:positionV relativeFrom="paragraph">
                <wp:posOffset>203200</wp:posOffset>
              </wp:positionV>
              <wp:extent cx="0" cy="12700"/>
              <wp:effectExtent b="0" l="0" r="0" t="0"/>
              <wp:wrapNone/>
              <wp:docPr id="22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4A310CD" wp14:editId="2EC8720C">
              <wp:simplePos x="0" y="0"/>
              <wp:positionH relativeFrom="column">
                <wp:posOffset>4279900</wp:posOffset>
              </wp:positionH>
              <wp:positionV relativeFrom="paragraph">
                <wp:posOffset>12700</wp:posOffset>
              </wp:positionV>
              <wp:extent cx="0" cy="12700"/>
              <wp:effectExtent l="0" t="0" r="0" b="0"/>
              <wp:wrapNone/>
              <wp:docPr id="225" name="Conector de Seta Reta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441125" y="3780000"/>
                        <a:ext cx="18097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4279900</wp:posOffset>
              </wp:positionH>
              <wp:positionV relativeFrom="paragraph">
                <wp:posOffset>12700</wp:posOffset>
              </wp:positionV>
              <wp:extent cx="0" cy="12700"/>
              <wp:effectExtent b="0" l="0" r="0" t="0"/>
              <wp:wrapNone/>
              <wp:docPr id="2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D52D" w14:textId="77777777" w:rsidR="00724CED" w:rsidRDefault="009B7C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7B5DB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4.95pt;height:445.45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ED"/>
    <w:rsid w:val="003F52D8"/>
    <w:rsid w:val="00591E3D"/>
    <w:rsid w:val="00595E86"/>
    <w:rsid w:val="006635EB"/>
    <w:rsid w:val="006B0F9F"/>
    <w:rsid w:val="00724CED"/>
    <w:rsid w:val="0088603E"/>
    <w:rsid w:val="009B1626"/>
    <w:rsid w:val="009B7C7F"/>
    <w:rsid w:val="00AA458A"/>
    <w:rsid w:val="00B44F4B"/>
    <w:rsid w:val="00E0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868C"/>
  <w15:docId w15:val="{F9AE5145-19BF-4261-B675-5DC3FA92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7B2"/>
  </w:style>
  <w:style w:type="paragraph" w:styleId="Ttulo1">
    <w:name w:val="heading 1"/>
    <w:basedOn w:val="Normal"/>
    <w:next w:val="Normal"/>
    <w:link w:val="Ttulo1Char"/>
    <w:uiPriority w:val="9"/>
    <w:qFormat/>
    <w:rsid w:val="005344AA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44A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44A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5344AA"/>
    <w:pPr>
      <w:jc w:val="center"/>
    </w:pPr>
    <w:rPr>
      <w:b/>
      <w:sz w:val="22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F64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644D"/>
  </w:style>
  <w:style w:type="paragraph" w:styleId="Rodap">
    <w:name w:val="footer"/>
    <w:basedOn w:val="Normal"/>
    <w:link w:val="RodapChar"/>
    <w:uiPriority w:val="99"/>
    <w:unhideWhenUsed/>
    <w:rsid w:val="00BF64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644D"/>
  </w:style>
  <w:style w:type="paragraph" w:styleId="Textodebalo">
    <w:name w:val="Balloon Text"/>
    <w:basedOn w:val="Normal"/>
    <w:link w:val="TextodebaloChar"/>
    <w:unhideWhenUsed/>
    <w:rsid w:val="00BF64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F644D"/>
    <w:rPr>
      <w:rFonts w:ascii="Segoe UI" w:hAnsi="Segoe UI" w:cs="Segoe UI"/>
      <w:sz w:val="18"/>
      <w:szCs w:val="18"/>
    </w:rPr>
  </w:style>
  <w:style w:type="paragraph" w:customStyle="1" w:styleId="ecxmsonormal">
    <w:name w:val="ecxmsonormal"/>
    <w:basedOn w:val="Normal"/>
    <w:rsid w:val="00C04F7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C04F7B"/>
    <w:rPr>
      <w:b/>
      <w:bCs/>
    </w:rPr>
  </w:style>
  <w:style w:type="character" w:customStyle="1" w:styleId="apple-style-span">
    <w:name w:val="apple-style-span"/>
    <w:basedOn w:val="Fontepargpadro"/>
    <w:rsid w:val="00C04F7B"/>
  </w:style>
  <w:style w:type="character" w:customStyle="1" w:styleId="nfaseforte">
    <w:name w:val="Ênfase forte"/>
    <w:rsid w:val="00C04F7B"/>
    <w:rPr>
      <w:b/>
      <w:bCs/>
    </w:rPr>
  </w:style>
  <w:style w:type="character" w:styleId="nfase">
    <w:name w:val="Emphasis"/>
    <w:uiPriority w:val="20"/>
    <w:qFormat/>
    <w:rsid w:val="00C04F7B"/>
    <w:rPr>
      <w:i/>
      <w:iCs/>
    </w:rPr>
  </w:style>
  <w:style w:type="paragraph" w:styleId="NormalWeb">
    <w:name w:val="Normal (Web)"/>
    <w:basedOn w:val="Normal"/>
    <w:uiPriority w:val="99"/>
    <w:unhideWhenUsed/>
    <w:rsid w:val="00C04F7B"/>
    <w:pPr>
      <w:jc w:val="both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1"/>
    <w:qFormat/>
    <w:rsid w:val="00394A94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SemEspaamento">
    <w:name w:val="No Spacing"/>
    <w:uiPriority w:val="1"/>
    <w:qFormat/>
    <w:rsid w:val="00AD67B2"/>
    <w:rPr>
      <w:rFonts w:ascii="Calibri" w:eastAsia="Calibri" w:hAnsi="Calibri"/>
    </w:rPr>
  </w:style>
  <w:style w:type="paragraph" w:customStyle="1" w:styleId="indent1">
    <w:name w:val="indent1"/>
    <w:basedOn w:val="Normal"/>
    <w:rsid w:val="00AD67B2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344AA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344AA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344AA"/>
    <w:rPr>
      <w:rFonts w:ascii="Calibri Light" w:eastAsia="Times New Roman" w:hAnsi="Calibri Light" w:cs="Times New Roman"/>
      <w:b/>
      <w:bCs/>
      <w:sz w:val="26"/>
      <w:szCs w:val="26"/>
      <w:lang w:eastAsia="pt-BR"/>
    </w:rPr>
  </w:style>
  <w:style w:type="character" w:customStyle="1" w:styleId="TtuloChar">
    <w:name w:val="Título Char"/>
    <w:basedOn w:val="Fontepargpadro"/>
    <w:link w:val="Ttulo"/>
    <w:rsid w:val="005344AA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styleId="Hyperlink">
    <w:name w:val="Hyperlink"/>
    <w:uiPriority w:val="99"/>
    <w:unhideWhenUsed/>
    <w:rsid w:val="005344AA"/>
    <w:rPr>
      <w:color w:val="0000FF"/>
      <w:u w:val="single"/>
    </w:rPr>
  </w:style>
  <w:style w:type="paragraph" w:customStyle="1" w:styleId="Default">
    <w:name w:val="Default"/>
    <w:rsid w:val="005344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344AA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344AA"/>
    <w:rPr>
      <w:rFonts w:ascii="Verdana" w:eastAsia="Verdana" w:hAnsi="Verdana" w:cs="Verdana"/>
      <w:sz w:val="20"/>
      <w:szCs w:val="20"/>
    </w:rPr>
  </w:style>
  <w:style w:type="table" w:styleId="Tabelacomgrade">
    <w:name w:val="Table Grid"/>
    <w:basedOn w:val="Tabelanormal"/>
    <w:uiPriority w:val="39"/>
    <w:rsid w:val="005344AA"/>
    <w:pPr>
      <w:widowControl w:val="0"/>
      <w:autoSpaceDE w:val="0"/>
      <w:autoSpaceDN w:val="0"/>
    </w:pPr>
    <w:rPr>
      <w:rFonts w:ascii="Calibri" w:eastAsia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5344AA"/>
    <w:rPr>
      <w:color w:val="605E5C"/>
      <w:shd w:val="clear" w:color="auto" w:fill="E1DFDD"/>
    </w:rPr>
  </w:style>
  <w:style w:type="character" w:customStyle="1" w:styleId="novotexto">
    <w:name w:val="novo_texto"/>
    <w:rsid w:val="005344A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3.png"/><Relationship Id="rId6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L0Jj+SAej379xMU/OLztJavAA==">CgMxLjAyCGguZ2pkZ3hzOAByITFXN0RiNFlZVDBaVFRLa3Z6bGRzN1VIM2FzX2xlMFdzOQ==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1202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GOIS</dc:creator>
  <cp:lastModifiedBy>José Gilvan Pereira Santos</cp:lastModifiedBy>
  <cp:revision>8</cp:revision>
  <dcterms:created xsi:type="dcterms:W3CDTF">2024-05-18T10:50:00Z</dcterms:created>
  <dcterms:modified xsi:type="dcterms:W3CDTF">2024-07-24T23:41:00Z</dcterms:modified>
</cp:coreProperties>
</file>